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21B78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color w:val="000000"/>
          <w:sz w:val="40"/>
          <w:szCs w:val="22"/>
          <w:lang w:val="en-US" w:eastAsia="zh-CN"/>
        </w:rPr>
      </w:pPr>
      <w:bookmarkStart w:id="0" w:name="_Toc30922_WPSOffice_Level1"/>
      <w:r>
        <w:rPr>
          <w:rFonts w:hint="eastAsia" w:ascii="宋体" w:hAnsi="宋体" w:eastAsia="宋体" w:cs="宋体"/>
          <w:color w:val="000000"/>
          <w:sz w:val="40"/>
          <w:szCs w:val="22"/>
          <w:lang w:val="en-US" w:eastAsia="zh-CN"/>
        </w:rPr>
        <w:t>安康市医疗废物处置中心环保设施运维服务需求清单</w:t>
      </w:r>
    </w:p>
    <w:p w14:paraId="5A14EAF1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bookmarkEnd w:id="0"/>
    <w:p w14:paraId="1BC55AF5">
      <w:pPr>
        <w:spacing w:line="360" w:lineRule="auto"/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一、服务对象</w:t>
      </w:r>
    </w:p>
    <w:p w14:paraId="6BF86EE9">
      <w:pPr>
        <w:spacing w:line="360" w:lineRule="auto"/>
        <w:ind w:firstLine="280" w:firstLineChars="1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1、医废处置车间废气处理设施；</w:t>
      </w:r>
    </w:p>
    <w:p w14:paraId="0ACF2C37">
      <w:pPr>
        <w:spacing w:line="360" w:lineRule="auto"/>
        <w:ind w:firstLine="280" w:firstLineChars="1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2、SW1号一体化污水处理站（医废车间生产废水、生活废水）；</w:t>
      </w:r>
    </w:p>
    <w:p w14:paraId="5EC1C0FD">
      <w:pPr>
        <w:spacing w:line="360" w:lineRule="auto"/>
        <w:ind w:firstLine="280" w:firstLineChars="1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3、SW2号一体化污水处理站（废输液瓶（袋）生产线废水）；</w:t>
      </w:r>
    </w:p>
    <w:p w14:paraId="22650638">
      <w:pPr>
        <w:spacing w:line="360" w:lineRule="auto"/>
        <w:rPr>
          <w:rFonts w:hint="default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二、服务目标</w:t>
      </w:r>
    </w:p>
    <w:p w14:paraId="3456484C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1、污水处理站持续稳定运行，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医废车间生产废水及生活废水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出水水质</w:t>
      </w:r>
      <w:r>
        <w:rPr>
          <w:rFonts w:hint="eastAsia" w:ascii="宋体" w:hAnsi="宋体" w:cs="宋体"/>
          <w:color w:val="000000"/>
          <w:sz w:val="28"/>
          <w:szCs w:val="28"/>
        </w:rPr>
        <w:t>符合《医疗机构水污染排放标准》（GB 18466-2005）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表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2预处理</w:t>
      </w:r>
      <w:r>
        <w:rPr>
          <w:rFonts w:hint="eastAsia" w:ascii="宋体" w:hAnsi="宋体" w:cs="宋体"/>
          <w:color w:val="000000"/>
          <w:sz w:val="28"/>
          <w:szCs w:val="28"/>
        </w:rPr>
        <w:t>的要求达标排放。主要污染物达标要求：pH(6-9)、粪大肠菌群数/(MPN/L)≤5000</w:t>
      </w:r>
      <w:r>
        <w:rPr>
          <w:rFonts w:hint="eastAsia"/>
          <w:color w:val="000000"/>
          <w:kern w:val="0"/>
          <w:sz w:val="20"/>
          <w:szCs w:val="21"/>
        </w:rPr>
        <w:t>、</w:t>
      </w:r>
      <w:r>
        <w:rPr>
          <w:rFonts w:hint="eastAsia" w:ascii="宋体" w:hAnsi="宋体" w:cs="宋体"/>
          <w:color w:val="000000"/>
          <w:sz w:val="28"/>
          <w:szCs w:val="28"/>
        </w:rPr>
        <w:t>SS≤60mg/L、COD≤250mg/L、BOD</w:t>
      </w:r>
      <w:r>
        <w:rPr>
          <w:rFonts w:hint="eastAsia" w:ascii="宋体" w:hAnsi="宋体" w:cs="宋体"/>
          <w:color w:val="000000"/>
          <w:sz w:val="28"/>
          <w:szCs w:val="28"/>
          <w:vertAlign w:val="subscript"/>
        </w:rPr>
        <w:t>5</w:t>
      </w:r>
      <w:r>
        <w:rPr>
          <w:rFonts w:hint="eastAsia" w:ascii="宋体" w:hAnsi="宋体" w:cs="宋体"/>
          <w:color w:val="000000"/>
          <w:sz w:val="28"/>
          <w:szCs w:val="28"/>
        </w:rPr>
        <w:t>≤100mg/L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总余氯：2</w:t>
      </w:r>
      <w:r>
        <w:rPr>
          <w:rFonts w:ascii="Times New Roman" w:hAnsi="Times New Roman" w:eastAsia="仿宋" w:cs="Times New Roman"/>
          <w:sz w:val="30"/>
          <w:szCs w:val="30"/>
        </w:rPr>
        <w:t>～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8</w:t>
      </w:r>
      <w:r>
        <w:rPr>
          <w:rFonts w:hint="eastAsia" w:ascii="宋体" w:hAnsi="宋体" w:cs="宋体"/>
          <w:color w:val="000000"/>
          <w:sz w:val="28"/>
          <w:szCs w:val="28"/>
        </w:rPr>
        <w:t>mg/L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等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 w14:paraId="1227036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、废输液瓶（袋）生产线废水污水处理站正常运转，废水排放执行《污水综合排放标准》（GB 8978-1996）三级标准，即主要污染物出水口浓度：pH=6～9、COD≤500mg/L、BOD5≤300mg/L、SS≤400mg/L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1512ABDE">
      <w:pPr>
        <w:pStyle w:val="2"/>
        <w:spacing w:line="360" w:lineRule="auto"/>
        <w:ind w:firstLine="560" w:firstLineChars="200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3、废气处理设施正常运行,气体排放符合《恶臭污染物排放标准》（GB14554-93）、《大气污染物综合排放标准》（GB16297-1966）标准。主要污染物达标要求：H2S≤0.33kg/h、非甲烷总烃≤10kg/h、NH3≤4.9kg/h、臭气≤2000。</w:t>
      </w:r>
    </w:p>
    <w:p w14:paraId="256DCD3D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4、所有污染物排放标准需严格结合环评及排污许可证执行，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环保运行管理台账符合规范要求，台账记录完整有序，符合相关技术规范的要求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,协助服务对象完成好单位内部的环保工作。</w:t>
      </w:r>
      <w:bookmarkStart w:id="7" w:name="_GoBack"/>
      <w:bookmarkEnd w:id="7"/>
    </w:p>
    <w:p w14:paraId="40B8DAC2">
      <w:pPr>
        <w:pStyle w:val="3"/>
        <w:spacing w:line="360" w:lineRule="auto"/>
        <w:rPr>
          <w:color w:val="000000"/>
        </w:rPr>
      </w:pPr>
      <w:bookmarkStart w:id="1" w:name="_Toc358_WPSOffice_Level2"/>
      <w:r>
        <w:rPr>
          <w:rFonts w:hint="eastAsia"/>
          <w:color w:val="000000"/>
          <w:lang w:eastAsia="zh-CN"/>
        </w:rPr>
        <w:t>三、</w:t>
      </w:r>
      <w:r>
        <w:rPr>
          <w:rFonts w:hint="eastAsia"/>
          <w:color w:val="000000"/>
        </w:rPr>
        <w:t>技术依据</w:t>
      </w:r>
      <w:bookmarkEnd w:id="1"/>
    </w:p>
    <w:p w14:paraId="282ECEF8">
      <w:pPr>
        <w:pStyle w:val="2"/>
        <w:spacing w:line="360" w:lineRule="auto"/>
        <w:ind w:firstLine="560"/>
        <w:rPr>
          <w:rFonts w:ascii="宋体" w:hAnsi="宋体" w:eastAsia="宋体" w:cs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color w:val="000000"/>
          <w:sz w:val="28"/>
          <w:szCs w:val="28"/>
        </w:rPr>
        <w:t>《中华人民共和国水污染防治法》；</w:t>
      </w:r>
    </w:p>
    <w:p w14:paraId="1919BFED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《医疗机构水污染排放标准》GB18466-2005；</w:t>
      </w:r>
    </w:p>
    <w:p w14:paraId="376D0F69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《排污单位自行监测技术指南》HJ819-2007；</w:t>
      </w:r>
    </w:p>
    <w:p w14:paraId="420B606B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《大气污染物综合排放标准》GB16297-1996；</w:t>
      </w:r>
    </w:p>
    <w:p w14:paraId="0BE42420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《恶臭污染物排放标准》GB14554-93；</w:t>
      </w:r>
    </w:p>
    <w:p w14:paraId="4E46C080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6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其他环境保护相关法规及技术规范要求。</w:t>
      </w:r>
    </w:p>
    <w:p w14:paraId="31021662">
      <w:pPr>
        <w:pStyle w:val="2"/>
        <w:numPr>
          <w:ilvl w:val="0"/>
          <w:numId w:val="0"/>
        </w:numPr>
        <w:spacing w:line="360" w:lineRule="auto"/>
        <w:rPr>
          <w:color w:val="000000"/>
        </w:rPr>
      </w:pPr>
      <w:bookmarkStart w:id="2" w:name="_Toc9826_WPSOffice_Level1"/>
      <w:r>
        <w:rPr>
          <w:rFonts w:hint="eastAsia" w:cs="Times New Roman"/>
          <w:b/>
          <w:color w:val="000000"/>
          <w:kern w:val="0"/>
          <w:sz w:val="32"/>
          <w:szCs w:val="20"/>
          <w:lang w:val="en-US" w:eastAsia="zh-CN" w:bidi="ar-SA"/>
        </w:rPr>
        <w:t>四</w:t>
      </w:r>
      <w:r>
        <w:rPr>
          <w:rFonts w:hint="eastAsia" w:ascii="Arial" w:hAnsi="Arial" w:eastAsia="黑体" w:cs="Times New Roman"/>
          <w:b/>
          <w:color w:val="000000"/>
          <w:kern w:val="0"/>
          <w:sz w:val="32"/>
          <w:szCs w:val="20"/>
          <w:lang w:val="en-US" w:eastAsia="zh-CN" w:bidi="ar-SA"/>
        </w:rPr>
        <w:t>、</w:t>
      </w:r>
      <w:r>
        <w:rPr>
          <w:rFonts w:hint="eastAsia" w:cs="Times New Roman"/>
          <w:b/>
          <w:color w:val="000000"/>
          <w:kern w:val="0"/>
          <w:sz w:val="32"/>
          <w:szCs w:val="20"/>
          <w:lang w:val="en-US" w:eastAsia="zh-CN" w:bidi="ar-SA"/>
        </w:rPr>
        <w:t>服务</w:t>
      </w:r>
      <w:r>
        <w:rPr>
          <w:rFonts w:hint="eastAsia"/>
          <w:color w:val="000000"/>
        </w:rPr>
        <w:t>内容</w:t>
      </w:r>
      <w:bookmarkEnd w:id="2"/>
    </w:p>
    <w:p w14:paraId="15872A6B">
      <w:pPr>
        <w:pStyle w:val="3"/>
        <w:spacing w:line="360" w:lineRule="auto"/>
        <w:rPr>
          <w:color w:val="000000"/>
        </w:rPr>
      </w:pPr>
      <w:bookmarkStart w:id="3" w:name="_Toc15219_WPSOffice_Level2"/>
      <w:r>
        <w:rPr>
          <w:rFonts w:hint="eastAsia"/>
          <w:color w:val="000000"/>
        </w:rPr>
        <w:t>（一）污水处理站运行维护</w:t>
      </w:r>
      <w:bookmarkEnd w:id="3"/>
    </w:p>
    <w:p w14:paraId="407A47D5">
      <w:pPr>
        <w:pStyle w:val="4"/>
        <w:spacing w:line="360" w:lineRule="auto"/>
        <w:rPr>
          <w:color w:val="000000"/>
        </w:rPr>
      </w:pPr>
      <w:r>
        <w:rPr>
          <w:rFonts w:hint="eastAsia"/>
          <w:color w:val="000000"/>
        </w:rPr>
        <w:t>1、预处理工艺维护</w:t>
      </w:r>
    </w:p>
    <w:p w14:paraId="377BE537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1.1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水泵的维护保养：提升泵1和提升泵2一用一备，交替运行，设定每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h切换一次；污泥泵每2~3h工作一次，一次工作1min。注意监测水泵的振动情况，检查固定螺栓松动情况。做到防腐有效，无锈蚀，不漏油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不漏电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不漏水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不漏气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，出现问题及时上报。</w:t>
      </w:r>
    </w:p>
    <w:p w14:paraId="7F5843FE">
      <w:pPr>
        <w:spacing w:line="360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1.2每日检查管路是否运行正常，是否存在破损、渗漏等现象。</w:t>
      </w:r>
    </w:p>
    <w:p w14:paraId="6A962610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1.3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调节池运行管理：定期巡检、观察调节池水位变化情况，定期检查调节池进、出水水质。定期进行水质PH值检测，对水质酸碱度进行分析。</w:t>
      </w:r>
    </w:p>
    <w:p w14:paraId="035C22B1">
      <w:pPr>
        <w:spacing w:line="360" w:lineRule="auto"/>
        <w:ind w:firstLine="560" w:firstLineChars="20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1.4定期对设备进行检查、润滑，确保设备的正常运行。</w:t>
      </w:r>
    </w:p>
    <w:p w14:paraId="2AC8D367">
      <w:pPr>
        <w:spacing w:line="360" w:lineRule="auto"/>
        <w:jc w:val="left"/>
        <w:rPr>
          <w:color w:val="auto"/>
        </w:rPr>
      </w:pPr>
    </w:p>
    <w:p w14:paraId="7C461610">
      <w:pPr>
        <w:pStyle w:val="4"/>
        <w:spacing w:line="360" w:lineRule="auto"/>
        <w:rPr>
          <w:color w:val="000000"/>
        </w:rPr>
      </w:pPr>
      <w:r>
        <w:rPr>
          <w:rFonts w:hint="eastAsia"/>
          <w:color w:val="000000"/>
        </w:rPr>
        <w:t>2、生物转盘工艺维护</w:t>
      </w:r>
    </w:p>
    <w:p w14:paraId="2794806A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2.1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每周检查转盘覆盖情况，转盘受温度影响最大，冬季低温可以防止热量散失，同时覆盖可以防止藻类生长，防止受雨水冲淋而影响生物膜处理效果。</w:t>
      </w:r>
    </w:p>
    <w:p w14:paraId="628ED6F0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2.2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每两周对脱落的生物膜进行清理，使之不发生腐化；控制水流速度与水流量，避免长时间超负荷现象发生。</w:t>
      </w:r>
    </w:p>
    <w:p w14:paraId="2EB252D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2.3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每月对生物转盘盘片填料进行抽检，对发黑发臭的滤料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及时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进行冲洗。</w:t>
      </w:r>
    </w:p>
    <w:p w14:paraId="72840B01">
      <w:pPr>
        <w:spacing w:line="360" w:lineRule="auto"/>
        <w:ind w:firstLine="560" w:firstLineChars="20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2.4定期检查生物转盘是否有损坏、断裂或变形情况，如果发现问题，应及时告知服务对象进行修复或者更换。</w:t>
      </w:r>
    </w:p>
    <w:p w14:paraId="3349D01A">
      <w:pPr>
        <w:spacing w:line="360" w:lineRule="auto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3、消毒工艺维护</w:t>
      </w:r>
    </w:p>
    <w:p w14:paraId="6358622D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污水处理后采用投加次氯酸钠消毒，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当发现消毒试剂需要补充的时候及时添加，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保存好消毒试剂，确保安全卫生，无污染。</w:t>
      </w:r>
    </w:p>
    <w:p w14:paraId="62A1751E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3.2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按照工艺要求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及时调整次氯酸钠投加量。</w:t>
      </w:r>
    </w:p>
    <w:p w14:paraId="41EDB356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3.3定期清洗消毒池，防止药剂残留腐蚀设备。</w:t>
      </w:r>
    </w:p>
    <w:p w14:paraId="418FE5AD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3.4每日检查进水口和出水口是否有堵塞或泄漏现象，如果有需要进行清理或修复，以确保水的正常流动和过滤效果。</w:t>
      </w:r>
    </w:p>
    <w:p w14:paraId="29E086F2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3.5每日检查出水口PH、总余氯浓度。</w:t>
      </w:r>
    </w:p>
    <w:p w14:paraId="20A96A20">
      <w:pPr>
        <w:spacing w:line="360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3.6做</w:t>
      </w:r>
      <w:r>
        <w:rPr>
          <w:rFonts w:hint="eastAsia" w:ascii="宋体" w:hAnsi="宋体" w:cs="宋体"/>
          <w:color w:val="000000"/>
          <w:sz w:val="28"/>
          <w:szCs w:val="28"/>
        </w:rPr>
        <w:t>好设备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加药及</w:t>
      </w:r>
      <w:r>
        <w:rPr>
          <w:rFonts w:hint="eastAsia" w:ascii="宋体" w:hAnsi="宋体" w:cs="宋体"/>
          <w:color w:val="000000"/>
          <w:sz w:val="28"/>
          <w:szCs w:val="28"/>
        </w:rPr>
        <w:t>运行维修记录台帐。</w:t>
      </w:r>
    </w:p>
    <w:p w14:paraId="52F45E33">
      <w:pPr>
        <w:pStyle w:val="3"/>
        <w:spacing w:line="360" w:lineRule="auto"/>
        <w:rPr>
          <w:rFonts w:hint="eastAsia"/>
        </w:rPr>
      </w:pPr>
      <w:r>
        <w:rPr>
          <w:rFonts w:hint="eastAsia"/>
          <w:color w:val="000000"/>
        </w:rPr>
        <w:t>（二）</w:t>
      </w:r>
      <w:r>
        <w:rPr>
          <w:rFonts w:hint="eastAsia"/>
          <w:color w:val="000000"/>
          <w:lang w:eastAsia="zh-CN"/>
        </w:rPr>
        <w:t>废气设施</w:t>
      </w:r>
      <w:r>
        <w:rPr>
          <w:rFonts w:hint="eastAsia"/>
          <w:color w:val="000000"/>
        </w:rPr>
        <w:t>运行维护</w:t>
      </w:r>
    </w:p>
    <w:p w14:paraId="5050790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每日对设备进行常规的巡视检查，如发现故障问题需施工方处理的及时告知服务对象。</w:t>
      </w:r>
    </w:p>
    <w:p w14:paraId="6C5EEAE8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及时清扫各构筑物的杂物，防止有害物质进入设备而损坏设备。</w:t>
      </w:r>
    </w:p>
    <w:p w14:paraId="5F24ADBF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color w:val="000000"/>
          <w:sz w:val="28"/>
          <w:szCs w:val="28"/>
        </w:rPr>
        <w:t>严格按废气治理设备的操作说明书进行操作运转，严禁设备空载或超负荷运行。</w:t>
      </w:r>
    </w:p>
    <w:p w14:paraId="24E78A19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4、每日</w:t>
      </w:r>
      <w:r>
        <w:rPr>
          <w:rFonts w:hint="eastAsia" w:ascii="宋体" w:hAnsi="宋体" w:cs="宋体"/>
          <w:color w:val="000000"/>
          <w:sz w:val="28"/>
          <w:szCs w:val="28"/>
        </w:rPr>
        <w:t>检查喷淋塔吸收液pH是否正常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。</w:t>
      </w:r>
    </w:p>
    <w:p w14:paraId="25C898B9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5、</w:t>
      </w:r>
      <w:r>
        <w:rPr>
          <w:rFonts w:hint="eastAsia" w:ascii="宋体" w:hAnsi="宋体" w:cs="宋体"/>
          <w:color w:val="000000"/>
          <w:sz w:val="28"/>
          <w:szCs w:val="28"/>
        </w:rPr>
        <w:t>风机、水泵等动力设备在启动前必须确认其相应管道的畅通。</w:t>
      </w:r>
    </w:p>
    <w:p w14:paraId="3EF10D4E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6、</w:t>
      </w:r>
      <w:r>
        <w:rPr>
          <w:rFonts w:hint="eastAsia" w:ascii="宋体" w:hAnsi="宋体" w:cs="宋体"/>
          <w:color w:val="000000"/>
          <w:sz w:val="28"/>
          <w:szCs w:val="28"/>
        </w:rPr>
        <w:t>检查化学药品储罐液位是否足够（若不足需加药液至适当液位）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。</w:t>
      </w:r>
    </w:p>
    <w:p w14:paraId="47C26412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7、</w:t>
      </w:r>
      <w:r>
        <w:rPr>
          <w:rFonts w:hint="eastAsia" w:ascii="宋体" w:hAnsi="宋体" w:cs="宋体"/>
          <w:color w:val="000000"/>
          <w:sz w:val="28"/>
          <w:szCs w:val="28"/>
        </w:rPr>
        <w:t>药剂贮存器应及时放空清洗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，废液协助服务对象按照要求收集暂存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 w14:paraId="2C6E43EB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8、</w:t>
      </w:r>
      <w:r>
        <w:rPr>
          <w:rFonts w:hint="eastAsia" w:ascii="宋体" w:hAnsi="宋体" w:cs="宋体"/>
          <w:color w:val="000000"/>
          <w:sz w:val="28"/>
          <w:szCs w:val="28"/>
        </w:rPr>
        <w:t>根据工艺需求，及时调整设备的运行参数。</w:t>
      </w:r>
    </w:p>
    <w:p w14:paraId="669B1150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9、</w:t>
      </w:r>
      <w:r>
        <w:rPr>
          <w:rFonts w:hint="eastAsia" w:ascii="宋体" w:hAnsi="宋体" w:cs="宋体"/>
          <w:color w:val="000000"/>
          <w:sz w:val="28"/>
          <w:szCs w:val="28"/>
        </w:rPr>
        <w:t>作好防锈防腐工作。</w:t>
      </w:r>
    </w:p>
    <w:p w14:paraId="14DF9FAF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10、做</w:t>
      </w:r>
      <w:r>
        <w:rPr>
          <w:rFonts w:hint="eastAsia" w:ascii="宋体" w:hAnsi="宋体" w:cs="宋体"/>
          <w:color w:val="000000"/>
          <w:sz w:val="28"/>
          <w:szCs w:val="28"/>
        </w:rPr>
        <w:t>好设备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加药及</w:t>
      </w:r>
      <w:r>
        <w:rPr>
          <w:rFonts w:hint="eastAsia" w:ascii="宋体" w:hAnsi="宋体" w:cs="宋体"/>
          <w:color w:val="000000"/>
          <w:sz w:val="28"/>
          <w:szCs w:val="28"/>
        </w:rPr>
        <w:t>运行维修记录台帐。</w:t>
      </w:r>
    </w:p>
    <w:p w14:paraId="1292FA5A">
      <w:pPr>
        <w:pStyle w:val="3"/>
        <w:spacing w:line="360" w:lineRule="auto"/>
        <w:rPr>
          <w:rFonts w:hint="eastAsia" w:eastAsia="宋体"/>
          <w:color w:val="000000"/>
          <w:lang w:eastAsia="zh-CN"/>
        </w:rPr>
      </w:pPr>
      <w:bookmarkStart w:id="4" w:name="_Toc10080_WPSOffice_Level2"/>
      <w:r>
        <w:rPr>
          <w:rFonts w:hint="eastAsia"/>
          <w:color w:val="000000"/>
        </w:rPr>
        <w:t>（三）台账</w:t>
      </w:r>
      <w:bookmarkEnd w:id="4"/>
      <w:r>
        <w:rPr>
          <w:rFonts w:hint="eastAsia"/>
          <w:color w:val="000000"/>
          <w:lang w:eastAsia="zh-CN"/>
        </w:rPr>
        <w:t>记录要求</w:t>
      </w:r>
    </w:p>
    <w:p w14:paraId="6FB22F4F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color w:val="000000"/>
          <w:sz w:val="28"/>
          <w:szCs w:val="28"/>
        </w:rPr>
        <w:t>按照排污许可管理要求做好环保设施运行状态、异常情况、维修保养等的记录。</w:t>
      </w:r>
    </w:p>
    <w:p w14:paraId="785DC330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台帐记录应采用统一的标准表格，记录应完整、规范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，有是否正常运行、故障情况、维修情况、加药情况等内容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 w14:paraId="36350650"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台账记录要</w:t>
      </w:r>
      <w:r>
        <w:rPr>
          <w:rFonts w:hint="eastAsia" w:ascii="宋体" w:hAnsi="宋体" w:cs="宋体"/>
          <w:color w:val="000000"/>
          <w:sz w:val="28"/>
          <w:szCs w:val="28"/>
        </w:rPr>
        <w:t>及时，准确。严禁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造假、丢</w:t>
      </w:r>
      <w:r>
        <w:rPr>
          <w:rFonts w:hint="eastAsia" w:ascii="宋体" w:hAnsi="宋体" w:cs="宋体"/>
          <w:color w:val="000000"/>
          <w:sz w:val="28"/>
          <w:szCs w:val="28"/>
        </w:rPr>
        <w:t>失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000000"/>
          <w:sz w:val="28"/>
          <w:szCs w:val="28"/>
        </w:rPr>
        <w:t>破损现象发生。</w:t>
      </w:r>
    </w:p>
    <w:p w14:paraId="6E6A47E5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宋体" w:hAnsi="宋体" w:cs="宋体"/>
          <w:color w:val="000000"/>
          <w:sz w:val="28"/>
          <w:szCs w:val="28"/>
        </w:rPr>
        <w:t>记录清晰、完整，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必须严格执行双</w:t>
      </w:r>
      <w:r>
        <w:rPr>
          <w:rFonts w:hint="eastAsia" w:ascii="宋体" w:hAnsi="宋体" w:cs="宋体"/>
          <w:color w:val="000000"/>
          <w:sz w:val="28"/>
          <w:szCs w:val="28"/>
        </w:rPr>
        <w:t>签字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制度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 w14:paraId="25A5B6BA">
      <w:pPr>
        <w:spacing w:line="360" w:lineRule="auto"/>
        <w:ind w:firstLine="560" w:firstLineChars="20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5、废气台账统一存放于处置车间办公室，废水台账统一存放于污水处理站操作间。</w:t>
      </w:r>
    </w:p>
    <w:p w14:paraId="5EB3B949">
      <w:pPr>
        <w:pStyle w:val="2"/>
        <w:spacing w:line="360" w:lineRule="auto"/>
        <w:rPr>
          <w:color w:val="000000"/>
        </w:rPr>
      </w:pPr>
      <w:bookmarkStart w:id="5" w:name="_Toc18981_WPSOffice_Level1"/>
      <w:r>
        <w:rPr>
          <w:rFonts w:hint="eastAsia"/>
          <w:color w:val="000000"/>
        </w:rPr>
        <w:t>四、服务费用</w:t>
      </w:r>
      <w:bookmarkEnd w:id="5"/>
    </w:p>
    <w:p w14:paraId="61E16325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费用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包括污水处理，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废气处理设施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运行维护费、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全年所需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试剂费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（次氯酸钠、氢氧化钠）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</w:t>
      </w:r>
      <w:bookmarkStart w:id="6" w:name="_Toc10977_WPSOffice_Level2"/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运维人员经费及税费。</w:t>
      </w:r>
    </w:p>
    <w:bookmarkEnd w:id="6"/>
    <w:p w14:paraId="369CF13C">
      <w:pPr>
        <w:spacing w:line="36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11AE0"/>
    <w:rsid w:val="014852B3"/>
    <w:rsid w:val="03157416"/>
    <w:rsid w:val="057161FA"/>
    <w:rsid w:val="05A50F26"/>
    <w:rsid w:val="073267E9"/>
    <w:rsid w:val="0E53701D"/>
    <w:rsid w:val="0F040A6B"/>
    <w:rsid w:val="2D095047"/>
    <w:rsid w:val="2E666BF4"/>
    <w:rsid w:val="31111AE0"/>
    <w:rsid w:val="3E3A59A8"/>
    <w:rsid w:val="45D72F96"/>
    <w:rsid w:val="463B1ACF"/>
    <w:rsid w:val="46D85D5E"/>
    <w:rsid w:val="56644F18"/>
    <w:rsid w:val="585F1E3B"/>
    <w:rsid w:val="5D641CA2"/>
    <w:rsid w:val="613921C4"/>
    <w:rsid w:val="6171498D"/>
    <w:rsid w:val="67A45ABC"/>
    <w:rsid w:val="6D5E2269"/>
    <w:rsid w:val="75A650F5"/>
    <w:rsid w:val="79B778D1"/>
    <w:rsid w:val="7B2D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kern w:val="0"/>
      <w:sz w:val="32"/>
      <w:szCs w:val="20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1711</Words>
  <Characters>1929</Characters>
  <Lines>0</Lines>
  <Paragraphs>0</Paragraphs>
  <TotalTime>6</TotalTime>
  <ScaleCrop>false</ScaleCrop>
  <LinksUpToDate>false</LinksUpToDate>
  <CharactersWithSpaces>1931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2025-07-15T03:57:00Z</dcterms:created>
  <dc:creator>汪乐</dc:creator>
  <cp:lastModifiedBy>汪乐</cp:lastModifiedBy>
  <dcterms:modified xsi:type="dcterms:W3CDTF">2025-07-18T02:16:30Z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E8143686C02F4B72B449FCE34F1FE4B7_11</vt:lpwstr>
  </property>
  <property fmtid="{D5CDD505-2E9C-101B-9397-08002B2CF9AE}" pid="4" name="KSOTemplateDocerSaveRecord">
    <vt:lpwstr>eyJoZGlkIjoiMjg1ZTNkMDkzZWVlNGMwMjQ5NGEwMDc1ZTMyNmJiMGYiLCJ1c2VySWQiOiI0NDM5Mzg3MTQifQ==</vt:lpwstr>
  </property>
</Properties>
</file>